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61</w:t>
      </w:r>
    </w:p>
    <w:p>
      <w:r>
        <w:t>Bundesgericht (BGE), 1991-10-21, FR</w:t>
      </w:r>
    </w:p>
    <w:p>
      <w:r>
        <w:rPr>
          <w:b/>
        </w:rPr>
        <w:t xml:space="preserve">Quelle: </w:t>
      </w:r>
      <w:r>
        <w:t>https://mcp.opencaselaw.ch/entscheid/bge_117 III 61</w:t>
      </w:r>
    </w:p>
    <w:p>
      <w:r>
        <w:t>FR: ATF 117 III 61</w:t>
      </w:r>
    </w:p>
    <w:p>
      <w:r>
        <w:t>IT: DTF 117 III 61</w:t>
      </w:r>
    </w:p>
    <w:p>
      <w:pPr>
        <w:pStyle w:val="Heading2"/>
      </w:pPr>
      <w:r>
        <w:t>Regeste</w:t>
      </w:r>
    </w:p>
    <w:p>
      <w:r>
        <w:t>Regeste Art. 91 und 95 SchKG. Pflicht zur Angabe der Vermögenswerte bei der Pfändung. 1. Der Betreibungsschuldner hat alle ihm gehörenden beweglichen Vermögenswerte anzugeben, damit das Betreibungsamt die Pfändung unter Beachtung der gesetzlich festgelegten Reihenfolge vollziehen kann (Erw. 2). 2. Wo die Pfändung unbeweglicher Vermögenswerte als unumgänglich erscheint, ist er verpflichtet, auch das gesamte unbewegliche Vermögen anzugeben (Erw. 3).</w:t>
      </w:r>
    </w:p>
    <w:p>
      <w:pPr>
        <w:pStyle w:val="Heading2"/>
      </w:pPr>
      <w:r>
        <w:t>Erwägungen</w:t>
      </w:r>
    </w:p>
    <w:p>
      <w:r>
        <w:rPr>
          <w:b/>
        </w:rPr>
        <w:t>E. 2</w:t>
      </w:r>
    </w:p>
    <w:p>
      <w:r>
        <w:t>Lorsqu'il prétend avoir satisfait, en offrant un bien immobilier d'une valeur suffisante, à ses obligations de débiteur, le recourant méconnaît ses devoirs dans la saisie. En effet, le débiteur est non seulement tenu d'indiquer jusqu'à due concurrence tous les biens, créances et autres droits qui lui appartiennent ( art. 91 al. 1 LP ), mais il doit encore le faire de façon que l'ordre légal de saisie puisse être respecté. La saisie porte en première ligne sur les biens meubles, y compris les créances; les immeubles ne sont saisis qu'à défaut de biens meubles suffisants pour couvrir la créance ou lorsque le créancier et le débiteur le demandent. En général, le fonctionnaire qui procède à la saisie doit concilier autant que possible les intérêts du créancier et ceux du débiteur ( art. 95 LP ). Ces règles s'appliquaient en l'espèce, car la banque C. avait introduit une poursuite ordinaire sans que le recourant exige, par voie de plainte, la réalisation du gage selon l' art. 41 al. 1 LP ( ATF 110 III 7 consid. 2 et les arrêts cités) et la saisie provisoire s'exécute comme la saisie définitive (GILLIÉRON, Poursuite pour dettes, faillite et concordat, 2e éd., Lausanne 1988, p. 152). BGE 117 III 61 S. 63 En l'espèce, l'office s'est trouvé dans l'impossibilité de connaître le patrimoine, en particulier mobilier, du recourant, car celui-ci était durablement absent. Vu l'offre de faire porter la saisie sur deux parcelles de Fribourg, il ne pouvait évidemment y renoncer, sous prétexte qu'il fallait en priorité s'assurer de l'inexistence de biens mobiliers saisissables. Il devait, pour sauvegarder les intérêts de la banque C., faire saisir les biens connus, même immobiliers. Mais l'obligation de procéder d'abord à la saisie de biens mobiliers demeurait, car l'ordre légal de saisie est aussi établi dans l'intérêt du créancier, c'est-à-dire de façon que les biens les plus faciles à réaliser soient saisis en premier lieu (GILLIÉRON, op.cit., p. 172). La loi exige d'ailleurs l'accord du créancier pour qu'un immeuble puisse être saisi avant des biens mobiliers ( art. 95 al. 2 LP ) et la banque C. n'avait pas demandé une saisie immobilière en lieu et place d'une saisie mobilière. Dès lors, c'est à bon droit que l'office a imparti au recourant un délai pour fournir tous renseignements utiles à l'exécution de la saisie, en particulier au sujet de ses biens mobiliers. Cette décision, fondée sur l'obligation de renseigner ( art. 91 al. 1 LP ) et l'ordre légal de saisie ( art. 95 LP ), est donc indépendante de l'application de l' art. 97 al. 2 LP .</w:t>
      </w:r>
    </w:p>
    <w:p>
      <w:r>
        <w:rPr>
          <w:b/>
        </w:rPr>
        <w:t>E. 3</w:t>
      </w:r>
    </w:p>
    <w:p>
      <w:r>
        <w:t>L'office a aussi exigé, par la décision du 12 mars 1991, des renseignements complets sur le patrimoine immobilier du recourant, c'est-à-dire la liste de ses immeubles avec l'indication d'éventuels créanciers hypothécaires. Lorsqu'une saisie immobilière paraît inévitable, comme c'est le cas en l'espèce, l'office doit connaître d'emblée l'ensemble des immeubles du débiteur de façon à pouvoir choisir celui ou ceux sur lesquels il fera porter la saisie. En effet, pour éviter la saisie de biens difficilement réalisables, l'office choisira lui-même l'immeuble à saisir. L'exigence posée par l'office de le renseigner tant sur les immeubles que sur les meubles du recourant était donc justifiée et, par conséquent, l'arrêt attaqué ne doit pas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